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pPr w:leftFromText="142" w:rightFromText="142" w:vertAnchor="page" w:horzAnchor="page" w:tblpX="6363" w:tblpY="744"/>
        <w:tblW w:w="4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347"/>
      </w:tblGrid>
      <w:tr w:rsidR="00A139D0" w:rsidRPr="00995AA8" w:rsidTr="00A139D0">
        <w:trPr>
          <w:cantSplit/>
          <w:trHeight w:hRule="exact" w:val="255"/>
        </w:trPr>
        <w:tc>
          <w:tcPr>
            <w:tcW w:w="2502" w:type="dxa"/>
            <w:tcMar>
              <w:left w:w="0" w:type="dxa"/>
              <w:right w:w="0" w:type="dxa"/>
            </w:tcMar>
          </w:tcPr>
          <w:p w:rsidR="00A139D0" w:rsidRPr="00995AA8" w:rsidRDefault="00A139D0" w:rsidP="00F1568B">
            <w:pPr>
              <w:pStyle w:val="Tiedot"/>
              <w:rPr>
                <w:lang w:val="fi-FI"/>
              </w:rPr>
            </w:pPr>
            <w:bookmarkStart w:id="0" w:name="_GoBack"/>
            <w:bookmarkEnd w:id="0"/>
          </w:p>
        </w:tc>
        <w:tc>
          <w:tcPr>
            <w:tcW w:w="2347" w:type="dxa"/>
            <w:tcMar>
              <w:left w:w="0" w:type="dxa"/>
              <w:right w:w="0" w:type="dxa"/>
            </w:tcMar>
          </w:tcPr>
          <w:p w:rsidR="00A139D0" w:rsidRPr="00995AA8" w:rsidRDefault="00A139D0" w:rsidP="00F1568B">
            <w:pPr>
              <w:pStyle w:val="Tiedot"/>
              <w:rPr>
                <w:lang w:val="fi-FI"/>
              </w:rPr>
            </w:pPr>
          </w:p>
        </w:tc>
      </w:tr>
      <w:tr w:rsidR="00A139D0" w:rsidRPr="00995AA8" w:rsidTr="00A139D0">
        <w:trPr>
          <w:cantSplit/>
          <w:trHeight w:hRule="exact" w:val="255"/>
        </w:trPr>
        <w:tc>
          <w:tcPr>
            <w:tcW w:w="2502" w:type="dxa"/>
            <w:tcMar>
              <w:left w:w="0" w:type="dxa"/>
              <w:right w:w="0" w:type="dxa"/>
            </w:tcMar>
          </w:tcPr>
          <w:p w:rsidR="00A139D0" w:rsidRPr="00995AA8" w:rsidRDefault="00A139D0" w:rsidP="00F1568B">
            <w:pPr>
              <w:pStyle w:val="Tiedot"/>
              <w:rPr>
                <w:lang w:val="fi-FI"/>
              </w:rPr>
            </w:pPr>
          </w:p>
        </w:tc>
        <w:tc>
          <w:tcPr>
            <w:tcW w:w="2347" w:type="dxa"/>
            <w:tcMar>
              <w:left w:w="0" w:type="dxa"/>
              <w:right w:w="0" w:type="dxa"/>
            </w:tcMar>
          </w:tcPr>
          <w:p w:rsidR="00A139D0" w:rsidRPr="00995AA8" w:rsidRDefault="00A139D0" w:rsidP="00F1568B">
            <w:pPr>
              <w:pStyle w:val="Tiedot"/>
              <w:rPr>
                <w:lang w:val="fi-FI"/>
              </w:rPr>
            </w:pPr>
          </w:p>
        </w:tc>
      </w:tr>
      <w:tr w:rsidR="00A139D0" w:rsidRPr="00995AA8" w:rsidTr="00A139D0">
        <w:trPr>
          <w:cantSplit/>
          <w:trHeight w:hRule="exact" w:val="255"/>
        </w:trPr>
        <w:tc>
          <w:tcPr>
            <w:tcW w:w="2502" w:type="dxa"/>
            <w:tcMar>
              <w:left w:w="0" w:type="dxa"/>
              <w:right w:w="0" w:type="dxa"/>
            </w:tcMar>
          </w:tcPr>
          <w:p w:rsidR="00A139D0" w:rsidRPr="00995AA8" w:rsidRDefault="00A139D0" w:rsidP="00F1568B">
            <w:pPr>
              <w:pStyle w:val="Tiedot"/>
              <w:rPr>
                <w:lang w:val="fi-FI"/>
              </w:rPr>
            </w:pPr>
          </w:p>
        </w:tc>
        <w:tc>
          <w:tcPr>
            <w:tcW w:w="2347" w:type="dxa"/>
            <w:tcMar>
              <w:left w:w="0" w:type="dxa"/>
              <w:right w:w="0" w:type="dxa"/>
            </w:tcMar>
          </w:tcPr>
          <w:p w:rsidR="00A139D0" w:rsidRPr="00995AA8" w:rsidRDefault="00A139D0" w:rsidP="00F1568B">
            <w:pPr>
              <w:pStyle w:val="Tiedot"/>
              <w:rPr>
                <w:lang w:val="fi-FI"/>
              </w:rPr>
            </w:pPr>
          </w:p>
        </w:tc>
      </w:tr>
      <w:tr w:rsidR="00A139D0" w:rsidRPr="00995AA8" w:rsidTr="00A139D0">
        <w:trPr>
          <w:cantSplit/>
          <w:trHeight w:val="680"/>
        </w:trPr>
        <w:tc>
          <w:tcPr>
            <w:tcW w:w="2502" w:type="dxa"/>
            <w:tcMar>
              <w:left w:w="0" w:type="dxa"/>
              <w:right w:w="0" w:type="dxa"/>
            </w:tcMar>
          </w:tcPr>
          <w:p w:rsidR="00A139D0" w:rsidRPr="00995AA8" w:rsidRDefault="00A139D0" w:rsidP="00F1568B">
            <w:pPr>
              <w:pStyle w:val="Tiedot"/>
              <w:rPr>
                <w:lang w:val="fi-FI"/>
              </w:rPr>
            </w:pPr>
          </w:p>
        </w:tc>
        <w:tc>
          <w:tcPr>
            <w:tcW w:w="2347" w:type="dxa"/>
            <w:tcMar>
              <w:left w:w="0" w:type="dxa"/>
              <w:right w:w="0" w:type="dxa"/>
            </w:tcMar>
          </w:tcPr>
          <w:p w:rsidR="00A139D0" w:rsidRPr="00995AA8" w:rsidRDefault="00A139D0" w:rsidP="00F1568B">
            <w:pPr>
              <w:pStyle w:val="Tiedot"/>
              <w:rPr>
                <w:bCs/>
                <w:lang w:val="fi-FI"/>
              </w:rPr>
            </w:pPr>
          </w:p>
        </w:tc>
      </w:tr>
    </w:tbl>
    <w:p w:rsidR="005844AB" w:rsidRPr="005844AB" w:rsidRDefault="005844AB" w:rsidP="005844AB">
      <w:pPr>
        <w:tabs>
          <w:tab w:val="clear" w:pos="1701"/>
        </w:tabs>
        <w:rPr>
          <w:rFonts w:ascii="Calibri" w:eastAsia="Times New Roman" w:hAnsi="Calibri" w:cs="Times New Roman"/>
          <w:b/>
          <w:sz w:val="22"/>
          <w:lang w:val="sv-SE" w:eastAsia="fi-FI"/>
        </w:rPr>
      </w:pPr>
      <w:r w:rsidRPr="005844AB">
        <w:rPr>
          <w:rFonts w:ascii="Calibri" w:eastAsia="Times New Roman" w:hAnsi="Calibri" w:cs="Times New Roman"/>
          <w:b/>
          <w:sz w:val="22"/>
          <w:lang w:val="sv-SE" w:eastAsia="fi-FI"/>
        </w:rPr>
        <w:t>Revisorernas granskningsrapport enligt särskild överenskommelse</w:t>
      </w:r>
      <w:r w:rsidRPr="005844AB">
        <w:rPr>
          <w:rFonts w:ascii="Calibri" w:eastAsia="Times New Roman" w:hAnsi="Calibri" w:cs="Times New Roman"/>
          <w:b/>
          <w:sz w:val="22"/>
          <w:lang w:val="sv-SE" w:eastAsia="fi-FI"/>
        </w:rPr>
        <w:tab/>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b/>
          <w:i/>
          <w:sz w:val="22"/>
          <w:lang w:val="sv-SE" w:eastAsia="fi-FI"/>
        </w:rPr>
      </w:pPr>
      <w:r w:rsidRPr="005844AB">
        <w:rPr>
          <w:rFonts w:ascii="Calibri" w:eastAsia="Times New Roman" w:hAnsi="Calibri" w:cs="Times New Roman"/>
          <w:b/>
          <w:i/>
          <w:sz w:val="22"/>
          <w:lang w:val="sv-SE" w:eastAsia="fi-FI"/>
        </w:rPr>
        <w:t>[till finansieringsmottagaren]</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 har genomfört de granskningsåtgärder som vi kommit överens om och som anges nedan rörande Finlands Akademis finansieringsbeslut nr [xxx] samt [finansieringsmottagaren]s undertecknade redovisning för perioden [dd.mm–dd.mm.20yy]utvisande totala kostnader om xxx euro.</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Vårt uppdrag har utförts enligt den standard för näraliggande tjänster som är tillämplig på uppdrag att utföra granskning enligt särskild överenskommelse (SNT 4400) samt enligt Finlands Akademis allmänna villkor och anvisningar för finansiering [namn och datum på dokumentet] (härefter finansieringsvillkor)</w:t>
      </w:r>
      <w:r w:rsidRPr="005844AB">
        <w:rPr>
          <w:rFonts w:ascii="Calibri" w:eastAsia="Times New Roman" w:hAnsi="Calibri" w:cs="Times New Roman"/>
          <w:sz w:val="22"/>
          <w:vertAlign w:val="superscript"/>
          <w:lang w:val="sv-SE" w:eastAsia="fi-FI"/>
        </w:rPr>
        <w:footnoteReference w:id="1"/>
      </w:r>
      <w:r w:rsidRPr="005844AB">
        <w:rPr>
          <w:rFonts w:ascii="Calibri" w:eastAsia="Times New Roman" w:hAnsi="Calibri" w:cs="Times New Roman"/>
          <w:sz w:val="22"/>
          <w:lang w:val="sv-SE" w:eastAsia="fi-FI"/>
        </w:rPr>
        <w:t>.</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Finansieringsmottagaren svarar för redovisningen samt för att de kostnader som uppges har uppkommit inom projektet, att kostnaderna har anvisats projektet i enlighet med finansieringsvillkoren och att kostnaderna hör samman med forskningen.</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Eftersom de granskningsåtgärder som nämns nedan varken är en revision enligt internationella revisionsstandarder (ISA) eller en översiktlig granskning enligt standarden för översiktlig granskning (SÖG) bestyrker vi inget.</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vi hade genomfört ytterligare granskningsåtgärder, eller om vi hade utfört en revision enligt ISA eller en</w:t>
      </w: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översiktlig granskning enligt SÖG, skulle andra förhållanden kanske ha kunnat komma till vår kännedom och ha rapporterats till er.</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Följande granskningsåtgärder har vidtagits enbart för att Finlands Akademi skulle kunna bedöma hur dess finansieringsvillkor har följts.</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27"/>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 fick en beskrivning av organisationens projektbokföring och intervjuade [xx/xx] för att utreda</w:t>
      </w:r>
    </w:p>
    <w:p w:rsidR="005844AB" w:rsidRPr="005844AB" w:rsidRDefault="005844AB" w:rsidP="005844AB">
      <w:pPr>
        <w:numPr>
          <w:ilvl w:val="0"/>
          <w:numId w:val="28"/>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hur bokföringen utförts och hur tillförlitlig den är</w:t>
      </w:r>
    </w:p>
    <w:p w:rsidR="005844AB" w:rsidRPr="005844AB" w:rsidRDefault="005844AB" w:rsidP="005844AB">
      <w:pPr>
        <w:numPr>
          <w:ilvl w:val="0"/>
          <w:numId w:val="28"/>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hur heltäckande spårbarhetskedjan är</w:t>
      </w:r>
    </w:p>
    <w:p w:rsidR="005844AB" w:rsidRPr="005844AB" w:rsidRDefault="005844AB" w:rsidP="005844AB">
      <w:pPr>
        <w:numPr>
          <w:ilvl w:val="0"/>
          <w:numId w:val="28"/>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bokföringen följer finansieringsvillkoren.</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27"/>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 fick en beskrivning av projektets arbetstidsredovisning och intervjuade [xx/xx] för att utreda</w:t>
      </w:r>
    </w:p>
    <w:p w:rsidR="005844AB" w:rsidRPr="005844AB" w:rsidRDefault="005844AB" w:rsidP="005844AB">
      <w:pPr>
        <w:numPr>
          <w:ilvl w:val="0"/>
          <w:numId w:val="29"/>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hur arbetsredovisningen utförts och hur tillförlitlig den är</w:t>
      </w:r>
    </w:p>
    <w:p w:rsidR="005844AB" w:rsidRPr="005844AB" w:rsidRDefault="005844AB" w:rsidP="005844AB">
      <w:pPr>
        <w:numPr>
          <w:ilvl w:val="0"/>
          <w:numId w:val="29"/>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 xml:space="preserve">om redovisningen följer finansieringsvillkoren. </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27"/>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I fråga om uppgifterna i redovisningen vidtog vi följande granskningsåtgärder. Åtgärderna täckte 30 procent av de löner som redovisats för projektet.</w:t>
      </w:r>
    </w:p>
    <w:p w:rsidR="005844AB" w:rsidRPr="005844AB" w:rsidRDefault="005844AB" w:rsidP="005844AB">
      <w:pPr>
        <w:numPr>
          <w:ilvl w:val="0"/>
          <w:numId w:val="30"/>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 xml:space="preserve">Vi jämförde den lönesumma som rapporterats för projektet i den lönespecifikationsblankett som ingår i redovisningen med projektets bokföring. </w:t>
      </w:r>
    </w:p>
    <w:p w:rsidR="005844AB" w:rsidRPr="005844AB" w:rsidRDefault="005844AB" w:rsidP="005844AB">
      <w:pPr>
        <w:numPr>
          <w:ilvl w:val="0"/>
          <w:numId w:val="30"/>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lastRenderedPageBreak/>
        <w:t xml:space="preserve">Vi jämförde andelen (eller timmarna) av den arbetstid som använts inom projektet och som uppgetts i lönespecifikationsblanketten med de uppgifter som allokerats till organisationens arbetstidsredovisning. </w:t>
      </w:r>
    </w:p>
    <w:p w:rsidR="005844AB" w:rsidRPr="005844AB" w:rsidRDefault="005844AB" w:rsidP="005844AB">
      <w:pPr>
        <w:numPr>
          <w:ilvl w:val="0"/>
          <w:numId w:val="30"/>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 jämförde den helhetslön som betalats under rapporteringsperioden och som uppgetts i lönespecifikationsblanketten med organisationens lönebokföring.</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ind w:left="720"/>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Dessutom intervjuade vi [xx] (som ansvarar för projektets lönebokföring) för att utreda huruvida projektets löner har följt den praxis som vanligen följs i organisationen.</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27"/>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 fick en specifikation per kostnadspost av de kostnader som uppgetts i redovisningen och vidtog nedan nämnda granskningsåtgärder. Åtgärderna täckte 40 procent av de kostnader som redovisats för projektet. För de valda kostnadernas del uppskattade vi</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kostnaderna hade baserats på projektbokföringen och finansieringsmottagarens bokföring</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kostnaderna hade uppkommit på prestationsbasis under projektets lopp</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hur kostnadsspecifikationen hade framställts per kostnadspost</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upphandlingen inom projektet hade följt upphandlingslagstiftningen och organisationens anvisningar om upphandlingar. Vi fäste uppmärksamhet vid</w:t>
      </w:r>
    </w:p>
    <w:p w:rsidR="005844AB" w:rsidRPr="005844AB" w:rsidRDefault="005844AB" w:rsidP="005844AB">
      <w:pPr>
        <w:numPr>
          <w:ilvl w:val="0"/>
          <w:numId w:val="32"/>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upphandlingsanmälningar</w:t>
      </w:r>
    </w:p>
    <w:p w:rsidR="005844AB" w:rsidRPr="005844AB" w:rsidRDefault="005844AB" w:rsidP="005844AB">
      <w:pPr>
        <w:numPr>
          <w:ilvl w:val="0"/>
          <w:numId w:val="32"/>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grunderna för direktupphandlingar</w:t>
      </w:r>
    </w:p>
    <w:p w:rsidR="005844AB" w:rsidRPr="005844AB" w:rsidRDefault="005844AB" w:rsidP="005844AB">
      <w:pPr>
        <w:numPr>
          <w:ilvl w:val="0"/>
          <w:numId w:val="32"/>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upphandlingsdokumentens tillförlitlighet</w:t>
      </w:r>
    </w:p>
    <w:p w:rsidR="005844AB" w:rsidRPr="005844AB" w:rsidRDefault="005844AB" w:rsidP="005844AB">
      <w:pPr>
        <w:numPr>
          <w:ilvl w:val="0"/>
          <w:numId w:val="32"/>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eventuell uppdelning av upphandlingar i syfte att kringgå tröskelvärden</w:t>
      </w:r>
    </w:p>
    <w:p w:rsidR="005844AB" w:rsidRPr="005844AB" w:rsidRDefault="005844AB" w:rsidP="005844AB">
      <w:pPr>
        <w:numPr>
          <w:ilvl w:val="0"/>
          <w:numId w:val="32"/>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lika behandling av anbudsgivare.</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ind w:left="709"/>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För följande kostnadsposter uppskattade vi även följande:</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Resekostnader</w:t>
      </w:r>
    </w:p>
    <w:p w:rsidR="005844AB" w:rsidRPr="005844AB" w:rsidRDefault="005844AB" w:rsidP="005844AB">
      <w:pPr>
        <w:numPr>
          <w:ilvl w:val="0"/>
          <w:numId w:val="33"/>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man vid resor hade följt organisationens reseanvisningar</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Kostnader för råvaror och förnödenheter</w:t>
      </w:r>
    </w:p>
    <w:p w:rsidR="005844AB" w:rsidRPr="005844AB" w:rsidRDefault="005844AB" w:rsidP="005844AB">
      <w:pPr>
        <w:numPr>
          <w:ilvl w:val="0"/>
          <w:numId w:val="33"/>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kostnaderna baserats på fakturor</w:t>
      </w:r>
    </w:p>
    <w:p w:rsidR="005844AB" w:rsidRPr="005844AB" w:rsidRDefault="005844AB" w:rsidP="005844AB">
      <w:pPr>
        <w:numPr>
          <w:ilvl w:val="0"/>
          <w:numId w:val="33"/>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organisationens interna faktureringar för råvaror och förnödenheter har gjorts till självkostnadspris</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Maskiner och apparater</w:t>
      </w:r>
    </w:p>
    <w:p w:rsidR="005844AB" w:rsidRPr="005844AB" w:rsidRDefault="005844AB" w:rsidP="005844AB">
      <w:pPr>
        <w:numPr>
          <w:ilvl w:val="0"/>
          <w:numId w:val="34"/>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inköp av maskiner och apparater grundar sig på den kostnadsberäkning som bifogats Finlands Akademis finansieringsbeslut/om inköp av maskiner och apparater har gjorts enligt den framförda/specificerade forskningsplanen</w:t>
      </w:r>
    </w:p>
    <w:p w:rsidR="005844AB" w:rsidRPr="005844AB" w:rsidRDefault="005844AB" w:rsidP="005844AB">
      <w:pPr>
        <w:numPr>
          <w:ilvl w:val="0"/>
          <w:numId w:val="34"/>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inköp av apparater baserats på fakturor</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Köpta tjänster</w:t>
      </w:r>
    </w:p>
    <w:p w:rsidR="005844AB" w:rsidRPr="005844AB" w:rsidRDefault="005844AB" w:rsidP="005844AB">
      <w:pPr>
        <w:numPr>
          <w:ilvl w:val="0"/>
          <w:numId w:val="35"/>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de köpta tjänsterna baserats på fakturor</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Övriga kostnader</w:t>
      </w:r>
    </w:p>
    <w:p w:rsidR="005844AB" w:rsidRPr="005844AB" w:rsidRDefault="005844AB" w:rsidP="005844AB">
      <w:pPr>
        <w:numPr>
          <w:ilvl w:val="0"/>
          <w:numId w:val="35"/>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de övriga kostnaderna baserats på fakturor eller intern fakturering samt om den interna faktureringens grunder har dokumenterats</w:t>
      </w:r>
    </w:p>
    <w:p w:rsidR="005844AB" w:rsidRPr="005844AB" w:rsidRDefault="005844AB" w:rsidP="005844AB">
      <w:pPr>
        <w:numPr>
          <w:ilvl w:val="0"/>
          <w:numId w:val="35"/>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om stipendierna som betalats till forskare följt Akademins finansieringsvillkor.</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ind w:left="709"/>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Vad gäller dessa kostnader har vi uppskattat huruvida kostnaderna har godkänts i enlighet med finansieringsmottagarens praxis för godkännande. Vi har enbart granskat de aspekter som nämns ovan. Om granskningen har lyft fram andra aspekter i anslutning till godkännandet av kostnader har vi rapportetar om dessa i samband med iakttagelserna nedan.</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 har gjort följande iakttagelser:</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36"/>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Vid punkt 1 konstaterade vi att finansieringsmottagarens projektbokföring har genomförts på följande sätt: [beskriv hur projektbokföringen har genomförts och kommentera särskilt de aspekter som rör bokföringens genomförande och tillförlitlighet, spårbarhetskedjans fullständighet samt iakttagandet av finansieringsvillkoren].</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36"/>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Vid punkt 2 konstaterade vi att arbetstidsredovisningen inom finansieringsmottagarens projekt har utförts på följande sätt: [beskriv hur arbetstidsredovisningen ar utförts och kommentera särskilt de aspekter som rör genomförandet och tillförlitligheten samt iakttagandet av finansieringsvillkoren].</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36"/>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Vid punkt 3 konstaterade vi att de uppgifter i lönespecifikationsblanketten, som ingår i redovisningen, som granskats överensstämmer med lönebokföringen och arbetstidsredovisningen [med undantag av följande poster…].</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numPr>
          <w:ilvl w:val="0"/>
          <w:numId w:val="36"/>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Vid punkt 4 konstaterade vi att de granskade kostnaderna</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grundar sig på projektbokföringen och finansieringsmottagarens bokföring</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har uppkommit på prestationsbasis under projektets lopp</w:t>
      </w:r>
    </w:p>
    <w:p w:rsidR="005844AB" w:rsidRPr="005844AB" w:rsidRDefault="005844AB" w:rsidP="005844AB">
      <w:pPr>
        <w:numPr>
          <w:ilvl w:val="0"/>
          <w:numId w:val="31"/>
        </w:numPr>
        <w:tabs>
          <w:tab w:val="clear" w:pos="1701"/>
        </w:tabs>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har framställts vederbörligt per kostnadspost.</w:t>
      </w:r>
    </w:p>
    <w:p w:rsidR="005844AB" w:rsidRPr="005844AB" w:rsidRDefault="005844AB" w:rsidP="005844AB">
      <w:pPr>
        <w:tabs>
          <w:tab w:val="clear" w:pos="1701"/>
        </w:tabs>
        <w:ind w:left="720"/>
        <w:rPr>
          <w:rFonts w:ascii="Calibri" w:eastAsia="Times New Roman" w:hAnsi="Calibri" w:cs="Times New Roman"/>
          <w:sz w:val="22"/>
          <w:lang w:val="sv-SE" w:eastAsia="fi-FI"/>
        </w:rPr>
      </w:pPr>
    </w:p>
    <w:p w:rsidR="005844AB" w:rsidRPr="005844AB" w:rsidRDefault="005844AB" w:rsidP="005844AB">
      <w:pPr>
        <w:tabs>
          <w:tab w:val="clear" w:pos="1701"/>
        </w:tabs>
        <w:ind w:left="720"/>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Vi konstaterade också att upphandlingarna gjorts enligt upphandlingslagstiftningen och organisationens anvisningar om upphandlingar.</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ind w:firstLine="709"/>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Dessutom konstaterade vi att</w:t>
      </w:r>
    </w:p>
    <w:p w:rsidR="005844AB" w:rsidRPr="005844AB" w:rsidRDefault="005844AB" w:rsidP="005844AB">
      <w:pPr>
        <w:numPr>
          <w:ilvl w:val="0"/>
          <w:numId w:val="37"/>
        </w:numPr>
        <w:tabs>
          <w:tab w:val="clear" w:pos="1701"/>
        </w:tabs>
        <w:ind w:left="1134" w:hanging="425"/>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man vid resor har följt organisationens reseanvisningar</w:t>
      </w:r>
    </w:p>
    <w:p w:rsidR="005844AB" w:rsidRPr="005844AB" w:rsidRDefault="005844AB" w:rsidP="005844AB">
      <w:pPr>
        <w:numPr>
          <w:ilvl w:val="0"/>
          <w:numId w:val="37"/>
        </w:numPr>
        <w:tabs>
          <w:tab w:val="clear" w:pos="1701"/>
        </w:tabs>
        <w:ind w:left="1134" w:hanging="425"/>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kostnaderna för råvaror och förnödenheter grundar sig på fakturor samt att organisationens interna faktureringar för råvaror och förnödenheter har gjorts till självkostnadspris</w:t>
      </w:r>
    </w:p>
    <w:p w:rsidR="005844AB" w:rsidRPr="005844AB" w:rsidRDefault="005844AB" w:rsidP="005844AB">
      <w:pPr>
        <w:numPr>
          <w:ilvl w:val="0"/>
          <w:numId w:val="37"/>
        </w:numPr>
        <w:tabs>
          <w:tab w:val="clear" w:pos="1701"/>
        </w:tabs>
        <w:ind w:left="1134" w:hanging="425"/>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inköp av maskiner och apparater ingår i den kostnadsberäkning som bifogats Finlands Akademis finansieringsbeslut/den framförda forskningsplanen</w:t>
      </w:r>
    </w:p>
    <w:p w:rsidR="005844AB" w:rsidRPr="005844AB" w:rsidRDefault="005844AB" w:rsidP="005844AB">
      <w:pPr>
        <w:numPr>
          <w:ilvl w:val="0"/>
          <w:numId w:val="37"/>
        </w:numPr>
        <w:tabs>
          <w:tab w:val="clear" w:pos="1701"/>
        </w:tabs>
        <w:ind w:left="1134" w:hanging="425"/>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köpta tjänster grundar sig på fakturor</w:t>
      </w:r>
    </w:p>
    <w:p w:rsidR="005844AB" w:rsidRPr="005844AB" w:rsidRDefault="005844AB" w:rsidP="005844AB">
      <w:pPr>
        <w:numPr>
          <w:ilvl w:val="0"/>
          <w:numId w:val="37"/>
        </w:numPr>
        <w:tabs>
          <w:tab w:val="clear" w:pos="1701"/>
        </w:tabs>
        <w:ind w:left="1134" w:hanging="425"/>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övriga kostnader grundar sig på fakturor eller intern fakturering samt att den interna faktureringens grunder har dokumenterats</w:t>
      </w:r>
    </w:p>
    <w:p w:rsidR="005844AB" w:rsidRPr="005844AB" w:rsidRDefault="005844AB" w:rsidP="005844AB">
      <w:pPr>
        <w:numPr>
          <w:ilvl w:val="0"/>
          <w:numId w:val="37"/>
        </w:numPr>
        <w:tabs>
          <w:tab w:val="clear" w:pos="1701"/>
        </w:tabs>
        <w:ind w:left="1134" w:hanging="425"/>
        <w:contextualSpacing/>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stipendier som betalats till forskare har följt Akademins finansieringsvillkor.</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Vår rapport är enbart avsedd för det syfte som angivits i det andra stycket i denna rapport och den ska inte användas för något annat syfte eller spridas till andra parter än Finlands Akademi. Trots det har Akademin rätt att överlämna denna rapport till övriga myndigheter för finansiell kontroll. Rapporten gäller endast den finansiella rapport som angivits ovan och inte [finansieringsmottagaren]s bokslut i sin helhet.</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Plats och tid</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CGR-samfund A/GRM-samfund A/</w:t>
      </w:r>
      <w:r w:rsidRPr="005844AB">
        <w:rPr>
          <w:rFonts w:ascii="Times New Roman" w:eastAsia="Times New Roman" w:hAnsi="Times New Roman" w:cs="Times New Roman"/>
          <w:sz w:val="22"/>
          <w:lang w:val="sv-SE" w:eastAsia="fi-FI"/>
        </w:rPr>
        <w:t xml:space="preserve"> </w:t>
      </w:r>
      <w:r w:rsidRPr="005844AB">
        <w:rPr>
          <w:rFonts w:ascii="Calibri" w:eastAsia="Times New Roman" w:hAnsi="Calibri" w:cs="Times New Roman"/>
          <w:sz w:val="22"/>
          <w:lang w:val="sv-SE" w:eastAsia="fi-FI"/>
        </w:rPr>
        <w:t>OFR-samfund A</w:t>
      </w: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 xml:space="preserve">Underskrift av CGR X/GRM X/OFR X </w:t>
      </w: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Namnförtydligande av CGR X/GRM X/OFR X</w:t>
      </w:r>
    </w:p>
    <w:p w:rsidR="005844AB" w:rsidRPr="005844AB" w:rsidRDefault="005844AB" w:rsidP="005844AB">
      <w:pPr>
        <w:tabs>
          <w:tab w:val="clear" w:pos="1701"/>
        </w:tabs>
        <w:rPr>
          <w:rFonts w:ascii="Calibri" w:eastAsia="Times New Roman" w:hAnsi="Calibri" w:cs="Times New Roman"/>
          <w:sz w:val="22"/>
          <w:lang w:val="sv-SE" w:eastAsia="fi-FI"/>
        </w:rPr>
      </w:pPr>
    </w:p>
    <w:p w:rsidR="005844AB" w:rsidRPr="005844AB" w:rsidRDefault="005844AB" w:rsidP="005844AB">
      <w:pPr>
        <w:tabs>
          <w:tab w:val="clear" w:pos="1701"/>
        </w:tabs>
        <w:rPr>
          <w:rFonts w:ascii="Calibri" w:eastAsia="Times New Roman" w:hAnsi="Calibri" w:cs="Times New Roman"/>
          <w:sz w:val="22"/>
          <w:lang w:val="sv-SE" w:eastAsia="fi-FI"/>
        </w:rPr>
      </w:pPr>
      <w:r w:rsidRPr="005844AB">
        <w:rPr>
          <w:rFonts w:ascii="Calibri" w:eastAsia="Times New Roman" w:hAnsi="Calibri" w:cs="Times New Roman"/>
          <w:sz w:val="22"/>
          <w:lang w:val="sv-SE" w:eastAsia="fi-FI"/>
        </w:rPr>
        <w:t>Adress för CGR-samfund A/GRM-samfund A/</w:t>
      </w:r>
      <w:r w:rsidRPr="005844AB">
        <w:rPr>
          <w:rFonts w:ascii="Times New Roman" w:eastAsia="Times New Roman" w:hAnsi="Times New Roman" w:cs="Times New Roman"/>
          <w:sz w:val="22"/>
          <w:lang w:val="sv-SE" w:eastAsia="fi-FI"/>
        </w:rPr>
        <w:t xml:space="preserve"> </w:t>
      </w:r>
      <w:r w:rsidRPr="005844AB">
        <w:rPr>
          <w:rFonts w:ascii="Calibri" w:eastAsia="Times New Roman" w:hAnsi="Calibri" w:cs="Times New Roman"/>
          <w:sz w:val="22"/>
          <w:lang w:val="sv-SE" w:eastAsia="fi-FI"/>
        </w:rPr>
        <w:t>OFR-samfund A</w:t>
      </w:r>
    </w:p>
    <w:p w:rsidR="00DD1301" w:rsidRPr="005844AB" w:rsidRDefault="005844AB" w:rsidP="00350C84">
      <w:pPr>
        <w:tabs>
          <w:tab w:val="clear" w:pos="1701"/>
        </w:tabs>
        <w:rPr>
          <w:lang w:val="sv-SE"/>
        </w:rPr>
      </w:pPr>
      <w:r w:rsidRPr="005844AB">
        <w:rPr>
          <w:rFonts w:ascii="Calibri" w:eastAsia="Times New Roman" w:hAnsi="Calibri" w:cs="Times New Roman"/>
          <w:sz w:val="22"/>
          <w:lang w:val="sv-SE" w:eastAsia="fi-FI"/>
        </w:rPr>
        <w:t xml:space="preserve">Postnummer för </w:t>
      </w:r>
      <w:bookmarkStart w:id="1" w:name="Yrityksen_nimi"/>
      <w:bookmarkEnd w:id="1"/>
      <w:r w:rsidRPr="005844AB">
        <w:rPr>
          <w:rFonts w:ascii="Calibri" w:eastAsia="Times New Roman" w:hAnsi="Calibri" w:cs="Times New Roman"/>
          <w:sz w:val="22"/>
          <w:lang w:val="sv-SE" w:eastAsia="fi-FI"/>
        </w:rPr>
        <w:t>CGR-samfund A/GRM-samfund A/</w:t>
      </w:r>
      <w:r w:rsidRPr="005844AB">
        <w:rPr>
          <w:rFonts w:ascii="Times New Roman" w:eastAsia="Times New Roman" w:hAnsi="Times New Roman" w:cs="Times New Roman"/>
          <w:sz w:val="22"/>
          <w:lang w:val="sv-SE" w:eastAsia="fi-FI"/>
        </w:rPr>
        <w:t xml:space="preserve"> </w:t>
      </w:r>
      <w:r w:rsidRPr="005844AB">
        <w:rPr>
          <w:rFonts w:ascii="Calibri" w:eastAsia="Times New Roman" w:hAnsi="Calibri" w:cs="Times New Roman"/>
          <w:sz w:val="22"/>
          <w:lang w:val="sv-SE" w:eastAsia="fi-FI"/>
        </w:rPr>
        <w:t>OFR-samfund A</w:t>
      </w:r>
    </w:p>
    <w:sectPr w:rsidR="00DD1301" w:rsidRPr="005844AB" w:rsidSect="00350C84">
      <w:headerReference w:type="default" r:id="rId8"/>
      <w:footerReference w:type="default" r:id="rId9"/>
      <w:headerReference w:type="first" r:id="rId10"/>
      <w:footerReference w:type="first" r:id="rId11"/>
      <w:pgSz w:w="11906" w:h="16838" w:code="9"/>
      <w:pgMar w:top="1021" w:right="1134" w:bottom="2041" w:left="1134" w:header="73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10A" w:rsidRDefault="00E6310A" w:rsidP="00AC7BC5">
      <w:r>
        <w:separator/>
      </w:r>
    </w:p>
  </w:endnote>
  <w:endnote w:type="continuationSeparator" w:id="0">
    <w:p w:rsidR="00E6310A" w:rsidRDefault="00E6310A"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93" w:rsidRPr="00437D93" w:rsidRDefault="00437D93" w:rsidP="00437D93">
    <w:pPr>
      <w:pStyle w:val="Alatunniste"/>
      <w:jc w:val="left"/>
    </w:pPr>
    <w:r>
      <w:rPr>
        <w:b/>
        <w:bCs/>
      </w:rPr>
      <w:drawing>
        <wp:anchor distT="0" distB="0" distL="114300" distR="114300" simplePos="0" relativeHeight="251666432" behindDoc="1" locked="0" layoutInCell="1" allowOverlap="1" wp14:anchorId="1F0FC3F9" wp14:editId="3ADDEE44">
          <wp:simplePos x="0" y="0"/>
          <wp:positionH relativeFrom="page">
            <wp:posOffset>0</wp:posOffset>
          </wp:positionH>
          <wp:positionV relativeFrom="page">
            <wp:posOffset>10051415</wp:posOffset>
          </wp:positionV>
          <wp:extent cx="7560000" cy="626400"/>
          <wp:effectExtent l="0" t="0" r="0" b="0"/>
          <wp:wrapNone/>
          <wp:docPr id="19"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alkk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16" w:rsidRDefault="00420D16" w:rsidP="009939B4">
    <w:pPr>
      <w:pStyle w:val="Alatunniste"/>
      <w:rPr>
        <w:b/>
        <w:bCs/>
      </w:rPr>
    </w:pPr>
  </w:p>
  <w:p w:rsidR="009939B4" w:rsidRPr="009939B4" w:rsidRDefault="00C85D1C" w:rsidP="009939B4">
    <w:pPr>
      <w:pStyle w:val="Alatunniste"/>
    </w:pPr>
    <w:r>
      <w:rPr>
        <w:b/>
        <w:bCs/>
      </w:rPr>
      <w:drawing>
        <wp:anchor distT="0" distB="0" distL="114300" distR="114300" simplePos="0" relativeHeight="251657215" behindDoc="1" locked="0" layoutInCell="1" allowOverlap="1" wp14:anchorId="33BBBB6F" wp14:editId="55AB899B">
          <wp:simplePos x="0" y="0"/>
          <wp:positionH relativeFrom="page">
            <wp:posOffset>0</wp:posOffset>
          </wp:positionH>
          <wp:positionV relativeFrom="page">
            <wp:posOffset>10051415</wp:posOffset>
          </wp:positionV>
          <wp:extent cx="7560000" cy="626400"/>
          <wp:effectExtent l="0" t="0" r="0" b="0"/>
          <wp:wrapNone/>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alkk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r w:rsidRPr="00C85D1C">
      <w:rPr>
        <w:b/>
        <w:bCs/>
      </w:rPr>
      <w:t>Suomen Akatemia</w:t>
    </w:r>
    <w:r w:rsidRPr="00C85D1C">
      <w:t xml:space="preserve">   |   Hakaniemenranta 6   |   PL 131   |   00531 Helsinki   |   Puh. 029 533 5000   |   etunimi.sukunimi@aka.fi   |   www.aka.fi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10A" w:rsidRDefault="00E6310A" w:rsidP="00AC7BC5">
      <w:r>
        <w:separator/>
      </w:r>
    </w:p>
  </w:footnote>
  <w:footnote w:type="continuationSeparator" w:id="0">
    <w:p w:rsidR="00E6310A" w:rsidRDefault="00E6310A" w:rsidP="00AC7BC5">
      <w:r>
        <w:continuationSeparator/>
      </w:r>
    </w:p>
  </w:footnote>
  <w:footnote w:id="1">
    <w:p w:rsidR="005844AB" w:rsidRPr="005844AB" w:rsidRDefault="005844AB" w:rsidP="005844AB">
      <w:pPr>
        <w:pStyle w:val="Alaviitteenteksti"/>
        <w:rPr>
          <w:rFonts w:ascii="Calibri" w:hAnsi="Calibri"/>
          <w:sz w:val="18"/>
          <w:szCs w:val="22"/>
          <w:lang w:val="sv-SE"/>
        </w:rPr>
      </w:pPr>
      <w:r w:rsidRPr="005844AB">
        <w:rPr>
          <w:rStyle w:val="Alaviitteenviite"/>
          <w:rFonts w:ascii="Calibri" w:hAnsi="Calibri"/>
          <w:sz w:val="18"/>
          <w:szCs w:val="22"/>
          <w:lang w:val="sv-SE"/>
        </w:rPr>
        <w:footnoteRef/>
      </w:r>
      <w:r w:rsidRPr="005844AB">
        <w:rPr>
          <w:rFonts w:ascii="Calibri" w:hAnsi="Calibri"/>
          <w:sz w:val="18"/>
          <w:szCs w:val="22"/>
          <w:lang w:val="sv-SE"/>
        </w:rPr>
        <w:t xml:space="preserve"> Jämförelse med de allmänna villkor och anvisningar som bifogats finansieringsbeslutet.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C84" w:rsidRDefault="00F1568B" w:rsidP="00F1568B">
    <w:pPr>
      <w:pStyle w:val="Yltunniste"/>
    </w:pPr>
    <w:r w:rsidRPr="005D4C87">
      <w:fldChar w:fldCharType="begin"/>
    </w:r>
    <w:r w:rsidRPr="005D4C87">
      <w:instrText>PAGE</w:instrText>
    </w:r>
    <w:r w:rsidRPr="005D4C87">
      <w:fldChar w:fldCharType="separate"/>
    </w:r>
    <w:r>
      <w:t>1</w:t>
    </w:r>
    <w:r w:rsidRPr="005D4C87">
      <w:fldChar w:fldCharType="end"/>
    </w:r>
    <w:r w:rsidRPr="005D4C87">
      <w:t xml:space="preserve"> (</w:t>
    </w:r>
    <w:r w:rsidRPr="005D4C87">
      <w:fldChar w:fldCharType="begin"/>
    </w:r>
    <w:r w:rsidRPr="005D4C87">
      <w:instrText>NUMPAGES</w:instrText>
    </w:r>
    <w:r w:rsidRPr="005D4C87">
      <w:fldChar w:fldCharType="separate"/>
    </w:r>
    <w:r>
      <w:t>2</w:t>
    </w:r>
    <w:r w:rsidRPr="005D4C87">
      <w:fldChar w:fldCharType="end"/>
    </w:r>
    <w:r w:rsidRPr="005D4C87">
      <w:t>)</w:t>
    </w:r>
  </w:p>
  <w:p w:rsidR="00350C84" w:rsidRDefault="00350C84" w:rsidP="00F1568B">
    <w:pPr>
      <w:pStyle w:val="Yltunniste"/>
    </w:pPr>
  </w:p>
  <w:p w:rsidR="00350C84" w:rsidRDefault="00350C84" w:rsidP="00F1568B">
    <w:pPr>
      <w:pStyle w:val="Yltunniste"/>
    </w:pPr>
  </w:p>
  <w:p w:rsidR="00350C84" w:rsidRDefault="00350C84" w:rsidP="00F1568B">
    <w:pPr>
      <w:pStyle w:val="Yltunniste"/>
    </w:pPr>
  </w:p>
  <w:p w:rsidR="0014405D" w:rsidRPr="00F1568B" w:rsidRDefault="00F1568B" w:rsidP="00F1568B">
    <w:pPr>
      <w:pStyle w:val="Yltunniste"/>
    </w:pPr>
    <w:r>
      <w:rPr>
        <w:noProof/>
      </w:rPr>
      <w:drawing>
        <wp:anchor distT="0" distB="0" distL="114300" distR="114300" simplePos="0" relativeHeight="251664384" behindDoc="1" locked="0" layoutInCell="1" allowOverlap="1" wp14:anchorId="70F86E2D" wp14:editId="5B41E065">
          <wp:simplePos x="0" y="0"/>
          <wp:positionH relativeFrom="page">
            <wp:posOffset>0</wp:posOffset>
          </wp:positionH>
          <wp:positionV relativeFrom="page">
            <wp:posOffset>0</wp:posOffset>
          </wp:positionV>
          <wp:extent cx="2606400" cy="1130400"/>
          <wp:effectExtent l="0" t="0" r="0" b="0"/>
          <wp:wrapNone/>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uomi.wmf"/>
                  <pic:cNvPicPr/>
                </pic:nvPicPr>
                <pic:blipFill>
                  <a:blip r:embed="rId1">
                    <a:extLst>
                      <a:ext uri="{28A0092B-C50C-407E-A947-70E740481C1C}">
                        <a14:useLocalDpi xmlns:a14="http://schemas.microsoft.com/office/drawing/2010/main" val="0"/>
                      </a:ext>
                    </a:extLst>
                  </a:blip>
                  <a:stretch>
                    <a:fillRect/>
                  </a:stretch>
                </pic:blipFill>
                <pic:spPr>
                  <a:xfrm>
                    <a:off x="0" y="0"/>
                    <a:ext cx="26064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93" w:rsidRDefault="00437D93" w:rsidP="00437D93">
    <w:pPr>
      <w:pStyle w:val="Yltunniste"/>
    </w:pPr>
    <w:r w:rsidRPr="005844AB">
      <w:rPr>
        <w:b/>
        <w:bCs/>
        <w:noProof/>
      </w:rPr>
      <w:drawing>
        <wp:anchor distT="0" distB="467995" distL="0" distR="0" simplePos="0" relativeHeight="251661312" behindDoc="1" locked="0" layoutInCell="1" allowOverlap="1" wp14:anchorId="5BD63A7B" wp14:editId="2547CCA2">
          <wp:simplePos x="0" y="0"/>
          <wp:positionH relativeFrom="page">
            <wp:posOffset>0</wp:posOffset>
          </wp:positionH>
          <wp:positionV relativeFrom="page">
            <wp:posOffset>0</wp:posOffset>
          </wp:positionV>
          <wp:extent cx="2606040" cy="1130300"/>
          <wp:effectExtent l="0" t="0" r="0" b="0"/>
          <wp:wrapNone/>
          <wp:docPr id="20" name="Kuv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uomi.wmf"/>
                  <pic:cNvPicPr/>
                </pic:nvPicPr>
                <pic:blipFill>
                  <a:blip r:embed="rId1">
                    <a:extLst>
                      <a:ext uri="{28A0092B-C50C-407E-A947-70E740481C1C}">
                        <a14:useLocalDpi xmlns:a14="http://schemas.microsoft.com/office/drawing/2010/main" val="0"/>
                      </a:ext>
                    </a:extLst>
                  </a:blip>
                  <a:stretch>
                    <a:fillRect/>
                  </a:stretch>
                </pic:blipFill>
                <pic:spPr>
                  <a:xfrm>
                    <a:off x="0" y="0"/>
                    <a:ext cx="2606040" cy="1130300"/>
                  </a:xfrm>
                  <a:prstGeom prst="rect">
                    <a:avLst/>
                  </a:prstGeom>
                </pic:spPr>
              </pic:pic>
            </a:graphicData>
          </a:graphic>
          <wp14:sizeRelH relativeFrom="margin">
            <wp14:pctWidth>0</wp14:pctWidth>
          </wp14:sizeRelH>
          <wp14:sizeRelV relativeFrom="margin">
            <wp14:pctHeight>0</wp14:pctHeight>
          </wp14:sizeRelV>
        </wp:anchor>
      </w:drawing>
    </w:r>
    <w:r w:rsidR="005844AB" w:rsidRPr="005844AB">
      <w:rPr>
        <w:b/>
        <w:bCs/>
      </w:rPr>
      <w:t>REVISIONSRAPPORT</w:t>
    </w:r>
    <w:r w:rsidR="00694666">
      <w:tab/>
      <w:t xml:space="preserve"> </w:t>
    </w:r>
    <w:r w:rsidR="007A77BC" w:rsidRPr="005D4C87">
      <w:fldChar w:fldCharType="begin"/>
    </w:r>
    <w:r w:rsidR="007A77BC" w:rsidRPr="005D4C87">
      <w:instrText>PAGE</w:instrText>
    </w:r>
    <w:r w:rsidR="007A77BC" w:rsidRPr="005D4C87">
      <w:fldChar w:fldCharType="separate"/>
    </w:r>
    <w:r w:rsidR="007A77BC">
      <w:t>1</w:t>
    </w:r>
    <w:r w:rsidR="007A77BC" w:rsidRPr="005D4C87">
      <w:fldChar w:fldCharType="end"/>
    </w:r>
    <w:r w:rsidR="007A77BC" w:rsidRPr="005D4C87">
      <w:t xml:space="preserve"> (</w:t>
    </w:r>
    <w:r w:rsidR="007A77BC" w:rsidRPr="005D4C87">
      <w:fldChar w:fldCharType="begin"/>
    </w:r>
    <w:r w:rsidR="007A77BC" w:rsidRPr="005D4C87">
      <w:instrText>NUMPAGES</w:instrText>
    </w:r>
    <w:r w:rsidR="007A77BC" w:rsidRPr="005D4C87">
      <w:fldChar w:fldCharType="separate"/>
    </w:r>
    <w:r w:rsidR="007A77BC">
      <w:t>2</w:t>
    </w:r>
    <w:r w:rsidR="007A77BC" w:rsidRPr="005D4C87">
      <w:fldChar w:fldCharType="end"/>
    </w:r>
    <w:r w:rsidR="007A77BC" w:rsidRPr="005D4C87">
      <w:t>)</w:t>
    </w:r>
  </w:p>
  <w:p w:rsidR="00437D93" w:rsidRDefault="00437D93" w:rsidP="00437D93">
    <w:pPr>
      <w:pStyle w:val="Yltunniste"/>
    </w:pPr>
  </w:p>
  <w:p w:rsidR="00437D93" w:rsidRDefault="005844AB" w:rsidP="005844AB">
    <w:pPr>
      <w:pStyle w:val="Yltunniste"/>
      <w:jc w:val="left"/>
    </w:pPr>
    <w:r>
      <w:tab/>
    </w:r>
    <w:r>
      <w:tab/>
      <w:t>1.9.2020</w:t>
    </w:r>
  </w:p>
  <w:p w:rsidR="00437D93" w:rsidRDefault="00437D93" w:rsidP="00437D93">
    <w:pPr>
      <w:pStyle w:val="Yltunniste"/>
    </w:pPr>
  </w:p>
  <w:p w:rsidR="00437D93" w:rsidRDefault="00437D93" w:rsidP="00437D93">
    <w:pPr>
      <w:pStyle w:val="Yltunniste"/>
    </w:pPr>
  </w:p>
  <w:p w:rsidR="00437D93" w:rsidRDefault="00437D93" w:rsidP="00437D93">
    <w:pPr>
      <w:pStyle w:val="Yltunniste"/>
    </w:pPr>
  </w:p>
  <w:p w:rsidR="00437D93" w:rsidRDefault="00437D93" w:rsidP="00437D93">
    <w:pPr>
      <w:pStyle w:val="Yltunniste"/>
    </w:pPr>
  </w:p>
  <w:p w:rsidR="00DF5FF8" w:rsidRPr="009939B4" w:rsidRDefault="00DF5FF8" w:rsidP="00437D9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0D0"/>
    <w:multiLevelType w:val="hybridMultilevel"/>
    <w:tmpl w:val="76C6FC6E"/>
    <w:lvl w:ilvl="0" w:tplc="5B8C7BDA">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422C6E"/>
    <w:multiLevelType w:val="hybridMultilevel"/>
    <w:tmpl w:val="4C1E93A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31932A9"/>
    <w:multiLevelType w:val="hybridMultilevel"/>
    <w:tmpl w:val="E76823E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3F93C73"/>
    <w:multiLevelType w:val="hybridMultilevel"/>
    <w:tmpl w:val="7BCCD684"/>
    <w:lvl w:ilvl="0" w:tplc="5B8C7BDA">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4A03737"/>
    <w:multiLevelType w:val="hybridMultilevel"/>
    <w:tmpl w:val="0968597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5E17428"/>
    <w:multiLevelType w:val="hybridMultilevel"/>
    <w:tmpl w:val="ED709F6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2E3A1D3E"/>
    <w:multiLevelType w:val="hybridMultilevel"/>
    <w:tmpl w:val="053E64D6"/>
    <w:lvl w:ilvl="0" w:tplc="5B8C7BDA">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3"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8B37299"/>
    <w:multiLevelType w:val="hybridMultilevel"/>
    <w:tmpl w:val="610EBACE"/>
    <w:lvl w:ilvl="0" w:tplc="5B8C7BDA">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69261AB6"/>
    <w:multiLevelType w:val="hybridMultilevel"/>
    <w:tmpl w:val="36CE0E0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4" w15:restartNumberingAfterBreak="0">
    <w:nsid w:val="6A4C44F2"/>
    <w:multiLevelType w:val="hybridMultilevel"/>
    <w:tmpl w:val="5E066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5" w15:restartNumberingAfterBreak="0">
    <w:nsid w:val="71A64DB5"/>
    <w:multiLevelType w:val="hybridMultilevel"/>
    <w:tmpl w:val="E19CC0E6"/>
    <w:lvl w:ilvl="0" w:tplc="5B8C7BD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24"/>
  </w:num>
  <w:num w:numId="5">
    <w:abstractNumId w:val="10"/>
  </w:num>
  <w:num w:numId="6">
    <w:abstractNumId w:val="8"/>
  </w:num>
  <w:num w:numId="7">
    <w:abstractNumId w:val="31"/>
  </w:num>
  <w:num w:numId="8">
    <w:abstractNumId w:val="20"/>
  </w:num>
  <w:num w:numId="9">
    <w:abstractNumId w:val="19"/>
  </w:num>
  <w:num w:numId="10">
    <w:abstractNumId w:val="21"/>
  </w:num>
  <w:num w:numId="11">
    <w:abstractNumId w:val="18"/>
  </w:num>
  <w:num w:numId="12">
    <w:abstractNumId w:val="6"/>
  </w:num>
  <w:num w:numId="13">
    <w:abstractNumId w:val="28"/>
  </w:num>
  <w:num w:numId="14">
    <w:abstractNumId w:val="29"/>
  </w:num>
  <w:num w:numId="15">
    <w:abstractNumId w:val="9"/>
  </w:num>
  <w:num w:numId="16">
    <w:abstractNumId w:val="36"/>
  </w:num>
  <w:num w:numId="17">
    <w:abstractNumId w:val="5"/>
  </w:num>
  <w:num w:numId="18">
    <w:abstractNumId w:val="25"/>
  </w:num>
  <w:num w:numId="19">
    <w:abstractNumId w:val="14"/>
  </w:num>
  <w:num w:numId="20">
    <w:abstractNumId w:val="27"/>
  </w:num>
  <w:num w:numId="21">
    <w:abstractNumId w:val="4"/>
  </w:num>
  <w:num w:numId="22">
    <w:abstractNumId w:val="26"/>
  </w:num>
  <w:num w:numId="23">
    <w:abstractNumId w:val="11"/>
  </w:num>
  <w:num w:numId="24">
    <w:abstractNumId w:val="2"/>
  </w:num>
  <w:num w:numId="25">
    <w:abstractNumId w:val="23"/>
  </w:num>
  <w:num w:numId="26">
    <w:abstractNumId w:val="22"/>
  </w:num>
  <w:num w:numId="27">
    <w:abstractNumId w:val="12"/>
  </w:num>
  <w:num w:numId="28">
    <w:abstractNumId w:val="0"/>
  </w:num>
  <w:num w:numId="29">
    <w:abstractNumId w:val="32"/>
  </w:num>
  <w:num w:numId="30">
    <w:abstractNumId w:val="17"/>
  </w:num>
  <w:num w:numId="31">
    <w:abstractNumId w:val="13"/>
  </w:num>
  <w:num w:numId="32">
    <w:abstractNumId w:val="16"/>
  </w:num>
  <w:num w:numId="33">
    <w:abstractNumId w:val="33"/>
  </w:num>
  <w:num w:numId="34">
    <w:abstractNumId w:val="34"/>
  </w:num>
  <w:num w:numId="35">
    <w:abstractNumId w:val="7"/>
  </w:num>
  <w:num w:numId="36">
    <w:abstractNumId w:val="1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AB"/>
    <w:rsid w:val="000058ED"/>
    <w:rsid w:val="00032ADC"/>
    <w:rsid w:val="00033395"/>
    <w:rsid w:val="00047B49"/>
    <w:rsid w:val="000639CC"/>
    <w:rsid w:val="00074D1C"/>
    <w:rsid w:val="000C3BE9"/>
    <w:rsid w:val="000C7201"/>
    <w:rsid w:val="000C7E8C"/>
    <w:rsid w:val="000F4350"/>
    <w:rsid w:val="00117BC3"/>
    <w:rsid w:val="0014405D"/>
    <w:rsid w:val="001703FE"/>
    <w:rsid w:val="00195851"/>
    <w:rsid w:val="001B5CF2"/>
    <w:rsid w:val="001C0381"/>
    <w:rsid w:val="001C40CB"/>
    <w:rsid w:val="001C7038"/>
    <w:rsid w:val="00206450"/>
    <w:rsid w:val="0022111F"/>
    <w:rsid w:val="002243A3"/>
    <w:rsid w:val="002809B1"/>
    <w:rsid w:val="0030309C"/>
    <w:rsid w:val="00311193"/>
    <w:rsid w:val="0031154F"/>
    <w:rsid w:val="00350C84"/>
    <w:rsid w:val="00356779"/>
    <w:rsid w:val="003606BB"/>
    <w:rsid w:val="00371133"/>
    <w:rsid w:val="003804DC"/>
    <w:rsid w:val="003959C4"/>
    <w:rsid w:val="003A34B9"/>
    <w:rsid w:val="003B7DD9"/>
    <w:rsid w:val="003C19EE"/>
    <w:rsid w:val="003C626B"/>
    <w:rsid w:val="003E10EB"/>
    <w:rsid w:val="00420D16"/>
    <w:rsid w:val="00434F82"/>
    <w:rsid w:val="004354B3"/>
    <w:rsid w:val="00437D93"/>
    <w:rsid w:val="0045661C"/>
    <w:rsid w:val="0047520D"/>
    <w:rsid w:val="004F4BAA"/>
    <w:rsid w:val="0054267A"/>
    <w:rsid w:val="005844AB"/>
    <w:rsid w:val="005B7196"/>
    <w:rsid w:val="005E48EA"/>
    <w:rsid w:val="00605ACB"/>
    <w:rsid w:val="0060724A"/>
    <w:rsid w:val="006739FF"/>
    <w:rsid w:val="00694666"/>
    <w:rsid w:val="006B426D"/>
    <w:rsid w:val="006D657D"/>
    <w:rsid w:val="006D6722"/>
    <w:rsid w:val="006F36F8"/>
    <w:rsid w:val="0073191E"/>
    <w:rsid w:val="00760947"/>
    <w:rsid w:val="007632A7"/>
    <w:rsid w:val="007727E6"/>
    <w:rsid w:val="007A77BC"/>
    <w:rsid w:val="007C0CC3"/>
    <w:rsid w:val="007C7C4F"/>
    <w:rsid w:val="00811224"/>
    <w:rsid w:val="008217E2"/>
    <w:rsid w:val="00830601"/>
    <w:rsid w:val="008B1667"/>
    <w:rsid w:val="008E5DF6"/>
    <w:rsid w:val="008F78F1"/>
    <w:rsid w:val="00914F26"/>
    <w:rsid w:val="00967360"/>
    <w:rsid w:val="009939B4"/>
    <w:rsid w:val="00995AA8"/>
    <w:rsid w:val="009E40DA"/>
    <w:rsid w:val="00A0715C"/>
    <w:rsid w:val="00A139D0"/>
    <w:rsid w:val="00A3260C"/>
    <w:rsid w:val="00A66520"/>
    <w:rsid w:val="00A71532"/>
    <w:rsid w:val="00AB3675"/>
    <w:rsid w:val="00AC7BC5"/>
    <w:rsid w:val="00AF69EA"/>
    <w:rsid w:val="00B06142"/>
    <w:rsid w:val="00B14070"/>
    <w:rsid w:val="00BA7BA5"/>
    <w:rsid w:val="00BB1B52"/>
    <w:rsid w:val="00BC768D"/>
    <w:rsid w:val="00C10165"/>
    <w:rsid w:val="00C164B8"/>
    <w:rsid w:val="00C23806"/>
    <w:rsid w:val="00C257FC"/>
    <w:rsid w:val="00C34D9F"/>
    <w:rsid w:val="00C46D72"/>
    <w:rsid w:val="00C479A0"/>
    <w:rsid w:val="00C635DE"/>
    <w:rsid w:val="00C71063"/>
    <w:rsid w:val="00C77D13"/>
    <w:rsid w:val="00C8584F"/>
    <w:rsid w:val="00C85D1C"/>
    <w:rsid w:val="00CE5733"/>
    <w:rsid w:val="00CF347E"/>
    <w:rsid w:val="00CF4F27"/>
    <w:rsid w:val="00D07AB2"/>
    <w:rsid w:val="00D43B00"/>
    <w:rsid w:val="00D51908"/>
    <w:rsid w:val="00D51F5E"/>
    <w:rsid w:val="00D552B0"/>
    <w:rsid w:val="00D67C9F"/>
    <w:rsid w:val="00D72A44"/>
    <w:rsid w:val="00DC15D7"/>
    <w:rsid w:val="00DD1301"/>
    <w:rsid w:val="00DF5FF8"/>
    <w:rsid w:val="00E05681"/>
    <w:rsid w:val="00E178BA"/>
    <w:rsid w:val="00E6310A"/>
    <w:rsid w:val="00E80176"/>
    <w:rsid w:val="00E81F28"/>
    <w:rsid w:val="00E83753"/>
    <w:rsid w:val="00EB2C37"/>
    <w:rsid w:val="00EB3F49"/>
    <w:rsid w:val="00EF7807"/>
    <w:rsid w:val="00F1568B"/>
    <w:rsid w:val="00F40EEB"/>
    <w:rsid w:val="00F445A3"/>
    <w:rsid w:val="00F44F42"/>
    <w:rsid w:val="00F92CE3"/>
    <w:rsid w:val="00F92DDB"/>
    <w:rsid w:val="00FB180C"/>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66520"/>
    <w:pPr>
      <w:tabs>
        <w:tab w:val="left" w:pos="1701"/>
      </w:tabs>
    </w:pPr>
    <w:rPr>
      <w:sz w:val="24"/>
    </w:rPr>
  </w:style>
  <w:style w:type="paragraph" w:styleId="Otsikko1">
    <w:name w:val="heading 1"/>
    <w:basedOn w:val="Normaali"/>
    <w:next w:val="Leipteksti"/>
    <w:link w:val="Otsikko1Char"/>
    <w:uiPriority w:val="14"/>
    <w:qFormat/>
    <w:rsid w:val="005E48EA"/>
    <w:pPr>
      <w:keepNext/>
      <w:keepLines/>
      <w:spacing w:before="240" w:after="240"/>
      <w:outlineLvl w:val="0"/>
    </w:pPr>
    <w:rPr>
      <w:rFonts w:asciiTheme="majorHAnsi" w:eastAsiaTheme="majorEastAsia" w:hAnsiTheme="majorHAnsi" w:cstheme="majorHAnsi"/>
      <w:b/>
      <w:bCs/>
      <w:szCs w:val="28"/>
    </w:rPr>
  </w:style>
  <w:style w:type="paragraph" w:styleId="Otsikko2">
    <w:name w:val="heading 2"/>
    <w:basedOn w:val="Normaali"/>
    <w:next w:val="Leipteksti"/>
    <w:link w:val="Otsikko2Char"/>
    <w:uiPriority w:val="14"/>
    <w:qFormat/>
    <w:rsid w:val="005E48EA"/>
    <w:pPr>
      <w:keepNext/>
      <w:keepLines/>
      <w:spacing w:before="240" w:after="24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8B1667"/>
    <w:pPr>
      <w:outlineLvl w:val="2"/>
    </w:pPr>
    <w:rPr>
      <w:rFonts w:cstheme="majorBidi"/>
      <w:bCs w:val="0"/>
    </w:rPr>
  </w:style>
  <w:style w:type="paragraph" w:styleId="Otsikko4">
    <w:name w:val="heading 4"/>
    <w:basedOn w:val="Otsikko2"/>
    <w:next w:val="Leipteksti"/>
    <w:link w:val="Otsikko4Char"/>
    <w:uiPriority w:val="14"/>
    <w:semiHidden/>
    <w:rsid w:val="0045661C"/>
    <w:pPr>
      <w:outlineLvl w:val="3"/>
    </w:pPr>
    <w:rPr>
      <w:rFonts w:cstheme="majorBidi"/>
      <w:bCs w:val="0"/>
      <w:iCs/>
    </w:rPr>
  </w:style>
  <w:style w:type="paragraph" w:styleId="Otsikko5">
    <w:name w:val="heading 5"/>
    <w:basedOn w:val="Otsikko4"/>
    <w:next w:val="Leipteksti"/>
    <w:link w:val="Otsikko5Char"/>
    <w:uiPriority w:val="14"/>
    <w:semiHidden/>
    <w:rsid w:val="0045661C"/>
    <w:pPr>
      <w:outlineLvl w:val="4"/>
    </w:pPr>
  </w:style>
  <w:style w:type="paragraph" w:styleId="Otsikko6">
    <w:name w:val="heading 6"/>
    <w:basedOn w:val="Normaali"/>
    <w:next w:val="Leipteksti"/>
    <w:link w:val="Otsikko6Char"/>
    <w:uiPriority w:val="14"/>
    <w:semiHidden/>
    <w:rsid w:val="0045661C"/>
    <w:pPr>
      <w:keepNext/>
      <w:keepLines/>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semiHidden/>
    <w:rsid w:val="0045661C"/>
    <w:pPr>
      <w:keepNext/>
      <w:keepLines/>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semiHidden/>
    <w:rsid w:val="0045661C"/>
    <w:pPr>
      <w:keepNext/>
      <w:keepLines/>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DF6"/>
    <w:rPr>
      <w:rFonts w:asciiTheme="majorHAnsi" w:eastAsiaTheme="majorEastAsia" w:hAnsiTheme="majorHAnsi" w:cstheme="majorHAnsi"/>
      <w:b/>
      <w:bCs/>
      <w:sz w:val="24"/>
      <w:szCs w:val="28"/>
    </w:rPr>
  </w:style>
  <w:style w:type="paragraph" w:styleId="Yltunniste">
    <w:name w:val="header"/>
    <w:basedOn w:val="Normaali"/>
    <w:link w:val="YltunnisteChar"/>
    <w:semiHidden/>
    <w:rsid w:val="00694666"/>
    <w:pPr>
      <w:tabs>
        <w:tab w:val="clear" w:pos="1701"/>
        <w:tab w:val="left" w:pos="3969"/>
      </w:tabs>
      <w:spacing w:line="256" w:lineRule="exact"/>
      <w:jc w:val="right"/>
    </w:pPr>
    <w:rPr>
      <w:sz w:val="22"/>
    </w:rPr>
  </w:style>
  <w:style w:type="paragraph" w:styleId="Leipteksti">
    <w:name w:val="Body Text"/>
    <w:basedOn w:val="Normaali"/>
    <w:link w:val="LeiptekstiChar"/>
    <w:uiPriority w:val="1"/>
    <w:qFormat/>
    <w:rsid w:val="000C7201"/>
    <w:pPr>
      <w:spacing w:line="288" w:lineRule="exact"/>
    </w:pPr>
  </w:style>
  <w:style w:type="character" w:customStyle="1" w:styleId="LeiptekstiChar">
    <w:name w:val="Leipäteksti Char"/>
    <w:basedOn w:val="Kappaleenoletusfontti"/>
    <w:link w:val="Leipteksti"/>
    <w:uiPriority w:val="1"/>
    <w:rsid w:val="000C7201"/>
    <w:rPr>
      <w:sz w:val="20"/>
    </w:rPr>
  </w:style>
  <w:style w:type="character" w:customStyle="1" w:styleId="YltunnisteChar">
    <w:name w:val="Ylätunniste Char"/>
    <w:basedOn w:val="Kappaleenoletusfontti"/>
    <w:link w:val="Yltunniste"/>
    <w:semiHidden/>
    <w:rsid w:val="00694666"/>
  </w:style>
  <w:style w:type="paragraph" w:styleId="Alatunniste">
    <w:name w:val="footer"/>
    <w:basedOn w:val="Normaali"/>
    <w:link w:val="AlatunnisteChar"/>
    <w:uiPriority w:val="99"/>
    <w:semiHidden/>
    <w:rsid w:val="00A66520"/>
    <w:pPr>
      <w:tabs>
        <w:tab w:val="clear" w:pos="1701"/>
      </w:tabs>
      <w:jc w:val="center"/>
    </w:pPr>
    <w:rPr>
      <w:noProof/>
      <w:color w:val="0077BF"/>
      <w:sz w:val="17"/>
    </w:rPr>
  </w:style>
  <w:style w:type="character" w:customStyle="1" w:styleId="AlatunnisteChar">
    <w:name w:val="Alatunniste Char"/>
    <w:basedOn w:val="Kappaleenoletusfontti"/>
    <w:link w:val="Alatunniste"/>
    <w:uiPriority w:val="99"/>
    <w:semiHidden/>
    <w:rsid w:val="00A66520"/>
    <w:rPr>
      <w:noProof/>
      <w:color w:val="0077BF"/>
      <w:sz w:val="17"/>
    </w:rPr>
  </w:style>
  <w:style w:type="paragraph" w:styleId="Otsikko">
    <w:name w:val="Title"/>
    <w:basedOn w:val="Normaali"/>
    <w:next w:val="Leipteksti"/>
    <w:link w:val="OtsikkoChar"/>
    <w:uiPriority w:val="10"/>
    <w:qFormat/>
    <w:locked/>
    <w:rsid w:val="001C0381"/>
    <w:pPr>
      <w:spacing w:before="288" w:after="288"/>
      <w:contextualSpacing/>
      <w:outlineLvl w:val="0"/>
    </w:pPr>
    <w:rPr>
      <w:rFonts w:asciiTheme="majorHAnsi" w:eastAsiaTheme="majorEastAsia" w:hAnsiTheme="majorHAnsi" w:cstheme="majorHAnsi"/>
      <w:b/>
      <w:kern w:val="28"/>
      <w:sz w:val="32"/>
      <w:szCs w:val="52"/>
    </w:rPr>
  </w:style>
  <w:style w:type="character" w:customStyle="1" w:styleId="OtsikkoChar">
    <w:name w:val="Otsikko Char"/>
    <w:basedOn w:val="Kappaleenoletusfontti"/>
    <w:link w:val="Otsikko"/>
    <w:uiPriority w:val="10"/>
    <w:rsid w:val="001C0381"/>
    <w:rPr>
      <w:rFonts w:asciiTheme="majorHAnsi" w:eastAsiaTheme="majorEastAsia" w:hAnsiTheme="majorHAnsi" w:cstheme="majorHAnsi"/>
      <w:b/>
      <w:kern w:val="28"/>
      <w:sz w:val="32"/>
      <w:szCs w:val="52"/>
    </w:rPr>
  </w:style>
  <w:style w:type="character" w:customStyle="1" w:styleId="Otsikko2Char">
    <w:name w:val="Otsikko 2 Char"/>
    <w:basedOn w:val="Kappaleenoletusfontti"/>
    <w:link w:val="Otsikko2"/>
    <w:rsid w:val="008E5DF6"/>
    <w:rPr>
      <w:rFonts w:asciiTheme="majorHAnsi" w:eastAsiaTheme="majorEastAsia" w:hAnsiTheme="majorHAnsi" w:cstheme="majorHAnsi"/>
      <w:b/>
      <w:bCs/>
      <w:sz w:val="24"/>
      <w:szCs w:val="26"/>
    </w:rPr>
  </w:style>
  <w:style w:type="paragraph" w:styleId="Alaotsikko">
    <w:name w:val="Subtitle"/>
    <w:basedOn w:val="Normaali"/>
    <w:next w:val="Leipteksti"/>
    <w:link w:val="AlaotsikkoChar"/>
    <w:uiPriority w:val="11"/>
    <w:qFormat/>
    <w:rsid w:val="00FD70A1"/>
    <w:pPr>
      <w:numPr>
        <w:ilvl w:val="1"/>
      </w:numPr>
      <w:spacing w:before="288" w:after="28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FD70A1"/>
    <w:rPr>
      <w:rFonts w:asciiTheme="majorHAnsi" w:eastAsiaTheme="majorEastAsia" w:hAnsiTheme="majorHAnsi" w:cstheme="majorHAnsi"/>
      <w:b/>
      <w:iCs/>
      <w:sz w:val="24"/>
      <w:szCs w:val="24"/>
    </w:rPr>
  </w:style>
  <w:style w:type="paragraph" w:styleId="Luettelokappale">
    <w:name w:val="List Paragraph"/>
    <w:basedOn w:val="Leipteksti"/>
    <w:uiPriority w:val="2"/>
    <w:qFormat/>
    <w:rsid w:val="00C85D1C"/>
    <w:pPr>
      <w:numPr>
        <w:numId w:val="1"/>
      </w:numPr>
      <w:ind w:left="284" w:hanging="284"/>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8E5DF6"/>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5597"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9"/>
    <w:semiHidden/>
    <w:rsid w:val="006B426D"/>
    <w:rPr>
      <w:rFonts w:asciiTheme="majorHAnsi" w:eastAsiaTheme="majorEastAsia" w:hAnsiTheme="majorHAnsi" w:cstheme="majorBidi"/>
      <w:b/>
      <w:iCs/>
      <w:sz w:val="20"/>
    </w:rPr>
  </w:style>
  <w:style w:type="character" w:customStyle="1" w:styleId="Otsikko8Char">
    <w:name w:val="Otsikko 8 Char"/>
    <w:basedOn w:val="Kappaleenoletusfontti"/>
    <w:link w:val="Otsikko8"/>
    <w:uiPriority w:val="9"/>
    <w:semiHidden/>
    <w:rsid w:val="006B426D"/>
    <w:rPr>
      <w:rFonts w:asciiTheme="majorHAnsi" w:eastAsiaTheme="majorEastAsia" w:hAnsiTheme="majorHAnsi" w:cstheme="majorBidi"/>
      <w:b/>
      <w:sz w:val="20"/>
      <w:szCs w:val="21"/>
    </w:rPr>
  </w:style>
  <w:style w:type="character" w:customStyle="1" w:styleId="Otsikko9Char">
    <w:name w:val="Otsikko 9 Char"/>
    <w:basedOn w:val="Kappaleenoletusfontti"/>
    <w:link w:val="Otsikko9"/>
    <w:uiPriority w:val="9"/>
    <w:semiHidden/>
    <w:rsid w:val="006B426D"/>
    <w:rPr>
      <w:rFonts w:asciiTheme="majorHAnsi" w:eastAsiaTheme="majorEastAsia" w:hAnsiTheme="majorHAnsi" w:cstheme="majorBidi"/>
      <w:b/>
      <w:iCs/>
      <w:sz w:val="20"/>
      <w:szCs w:val="21"/>
    </w:rPr>
  </w:style>
  <w:style w:type="character" w:styleId="Hienovarainenkorostus">
    <w:name w:val="Subtle Emphasis"/>
    <w:basedOn w:val="Kappaleenoletusfontti"/>
    <w:uiPriority w:val="19"/>
    <w:rsid w:val="00605ACB"/>
    <w:rPr>
      <w:i/>
      <w:iCs/>
      <w:color w:val="404040" w:themeColor="text1" w:themeTint="BF"/>
    </w:rPr>
  </w:style>
  <w:style w:type="character" w:styleId="Korostus">
    <w:name w:val="Emphasis"/>
    <w:basedOn w:val="Kappaleenoletusfontti"/>
    <w:uiPriority w:val="20"/>
    <w:rsid w:val="00605ACB"/>
    <w:rPr>
      <w:i/>
      <w:iCs/>
    </w:rPr>
  </w:style>
  <w:style w:type="character" w:styleId="Voimakaskorostus">
    <w:name w:val="Intense Emphasis"/>
    <w:basedOn w:val="Kappaleenoletusfontti"/>
    <w:uiPriority w:val="21"/>
    <w:rsid w:val="00605ACB"/>
    <w:rPr>
      <w:i/>
      <w:iCs/>
      <w:color w:val="005A9C" w:themeColor="accent1"/>
    </w:rPr>
  </w:style>
  <w:style w:type="character" w:styleId="Voimakas">
    <w:name w:val="Strong"/>
    <w:basedOn w:val="Kappaleenoletusfontti"/>
    <w:uiPriority w:val="22"/>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iedot">
    <w:name w:val="Tiedot"/>
    <w:basedOn w:val="Normaali"/>
    <w:rsid w:val="00F1568B"/>
    <w:rPr>
      <w:sz w:val="22"/>
    </w:rPr>
  </w:style>
  <w:style w:type="paragraph" w:styleId="Alaviitteenteksti">
    <w:name w:val="footnote text"/>
    <w:basedOn w:val="Normaali"/>
    <w:link w:val="AlaviitteentekstiChar"/>
    <w:uiPriority w:val="99"/>
    <w:semiHidden/>
    <w:unhideWhenUsed/>
    <w:rsid w:val="005844AB"/>
    <w:pPr>
      <w:tabs>
        <w:tab w:val="clear" w:pos="1701"/>
      </w:tabs>
    </w:pPr>
    <w:rPr>
      <w:rFonts w:ascii="Times New Roman" w:eastAsia="Times New Roman" w:hAnsi="Times New Roman" w:cs="Times New Roman"/>
      <w:sz w:val="20"/>
      <w:szCs w:val="20"/>
      <w:lang w:eastAsia="fi-FI"/>
    </w:rPr>
  </w:style>
  <w:style w:type="character" w:customStyle="1" w:styleId="AlaviitteentekstiChar">
    <w:name w:val="Alaviitteen teksti Char"/>
    <w:basedOn w:val="Kappaleenoletusfontti"/>
    <w:link w:val="Alaviitteenteksti"/>
    <w:uiPriority w:val="99"/>
    <w:semiHidden/>
    <w:rsid w:val="005844AB"/>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584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SuomenAkatemia2020">
      <a:dk1>
        <a:sysClr val="windowText" lastClr="000000"/>
      </a:dk1>
      <a:lt1>
        <a:sysClr val="window" lastClr="FFFFFF"/>
      </a:lt1>
      <a:dk2>
        <a:srgbClr val="0077BF"/>
      </a:dk2>
      <a:lt2>
        <a:srgbClr val="9D9D9C"/>
      </a:lt2>
      <a:accent1>
        <a:srgbClr val="005A9C"/>
      </a:accent1>
      <a:accent2>
        <a:srgbClr val="4F9D2F"/>
      </a:accent2>
      <a:accent3>
        <a:srgbClr val="BEC946"/>
      </a:accent3>
      <a:accent4>
        <a:srgbClr val="50AADC"/>
      </a:accent4>
      <a:accent5>
        <a:srgbClr val="DA8E2E"/>
      </a:accent5>
      <a:accent6>
        <a:srgbClr val="A63B74"/>
      </a:accent6>
      <a:hlink>
        <a:srgbClr val="005597"/>
      </a:hlink>
      <a:folHlink>
        <a:srgbClr val="594A8C"/>
      </a:folHlink>
    </a:clrScheme>
    <a:fontScheme name="Source Sans Pro">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6624</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2020-09-01T10:39:00Z</dcterms:created>
  <dcterms:modified xsi:type="dcterms:W3CDTF">2020-09-01T10:39:00Z</dcterms:modified>
</cp:coreProperties>
</file>